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75" w:rsidRDefault="00012975" w:rsidP="00012975">
      <w:pPr>
        <w:spacing w:after="240"/>
        <w:jc w:val="center"/>
        <w:rPr>
          <w:b/>
          <w:sz w:val="24"/>
          <w:szCs w:val="24"/>
        </w:rPr>
      </w:pPr>
      <w:bookmarkStart w:id="0" w:name="_GoBack"/>
      <w:bookmarkEnd w:id="0"/>
      <w:r w:rsidRPr="00012975">
        <w:rPr>
          <w:b/>
          <w:sz w:val="24"/>
          <w:szCs w:val="24"/>
        </w:rPr>
        <w:t>Midwest Philatel</w:t>
      </w:r>
      <w:r w:rsidR="0082716E">
        <w:rPr>
          <w:b/>
          <w:sz w:val="24"/>
          <w:szCs w:val="24"/>
        </w:rPr>
        <w:t xml:space="preserve">ic Society </w:t>
      </w:r>
      <w:r w:rsidR="00E44606">
        <w:rPr>
          <w:b/>
          <w:sz w:val="24"/>
          <w:szCs w:val="24"/>
        </w:rPr>
        <w:t xml:space="preserve">2015 </w:t>
      </w:r>
      <w:r w:rsidR="0082716E">
        <w:rPr>
          <w:b/>
          <w:sz w:val="24"/>
          <w:szCs w:val="24"/>
        </w:rPr>
        <w:t xml:space="preserve">Criteria for </w:t>
      </w:r>
      <w:r w:rsidRPr="00012975">
        <w:rPr>
          <w:b/>
          <w:sz w:val="24"/>
          <w:szCs w:val="24"/>
        </w:rPr>
        <w:t>Exhibiting Awards</w:t>
      </w:r>
    </w:p>
    <w:tbl>
      <w:tblPr>
        <w:tblStyle w:val="TableGrid"/>
        <w:tblW w:w="6840"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2303"/>
        <w:gridCol w:w="2305"/>
      </w:tblGrid>
      <w:tr w:rsidR="00874C43" w:rsidTr="00BE0AA5">
        <w:tc>
          <w:tcPr>
            <w:tcW w:w="6840" w:type="dxa"/>
            <w:gridSpan w:val="3"/>
            <w:tcMar>
              <w:left w:w="29" w:type="dxa"/>
              <w:right w:w="29" w:type="dxa"/>
            </w:tcMar>
          </w:tcPr>
          <w:p w:rsidR="00874C43" w:rsidRDefault="00874C43" w:rsidP="00390FD6">
            <w:pPr>
              <w:jc w:val="center"/>
              <w:rPr>
                <w:b/>
              </w:rPr>
            </w:pPr>
            <w:r>
              <w:rPr>
                <w:b/>
              </w:rPr>
              <w:t>Midwest Philatelic Society</w:t>
            </w:r>
          </w:p>
          <w:p w:rsidR="00874C43" w:rsidRPr="002B49B8" w:rsidRDefault="00874C43" w:rsidP="00874C43">
            <w:pPr>
              <w:spacing w:after="120"/>
              <w:jc w:val="center"/>
              <w:rPr>
                <w:b/>
              </w:rPr>
            </w:pPr>
            <w:r w:rsidRPr="002B49B8">
              <w:rPr>
                <w:b/>
              </w:rPr>
              <w:t>“</w:t>
            </w:r>
            <w:r>
              <w:rPr>
                <w:b/>
              </w:rPr>
              <w:t>First, Second, and Third Place Ribbon Awards</w:t>
            </w:r>
            <w:r w:rsidRPr="002B49B8">
              <w:rPr>
                <w:b/>
              </w:rPr>
              <w:t>”</w:t>
            </w:r>
          </w:p>
        </w:tc>
      </w:tr>
      <w:tr w:rsidR="00874C43" w:rsidTr="00BE0AA5">
        <w:tc>
          <w:tcPr>
            <w:tcW w:w="2232" w:type="dxa"/>
            <w:tcMar>
              <w:left w:w="29" w:type="dxa"/>
              <w:right w:w="29" w:type="dxa"/>
            </w:tcMar>
          </w:tcPr>
          <w:p w:rsidR="00874C43" w:rsidRDefault="00930A9D" w:rsidP="0082716E">
            <w:pPr>
              <w:jc w:val="center"/>
            </w:pPr>
            <w:r>
              <w:rPr>
                <w:noProof/>
              </w:rPr>
              <w:drawing>
                <wp:inline distT="0" distB="0" distL="0" distR="0" wp14:anchorId="29FFD332" wp14:editId="5655FD0E">
                  <wp:extent cx="681486" cy="14808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S Fir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1596" cy="1481057"/>
                          </a:xfrm>
                          <a:prstGeom prst="rect">
                            <a:avLst/>
                          </a:prstGeom>
                        </pic:spPr>
                      </pic:pic>
                    </a:graphicData>
                  </a:graphic>
                </wp:inline>
              </w:drawing>
            </w:r>
          </w:p>
        </w:tc>
        <w:tc>
          <w:tcPr>
            <w:tcW w:w="2303" w:type="dxa"/>
            <w:tcMar>
              <w:left w:w="29" w:type="dxa"/>
              <w:right w:w="29" w:type="dxa"/>
            </w:tcMar>
          </w:tcPr>
          <w:p w:rsidR="00874C43" w:rsidRDefault="00930A9D" w:rsidP="00390FD6">
            <w:pPr>
              <w:jc w:val="center"/>
            </w:pPr>
            <w:r>
              <w:rPr>
                <w:noProof/>
              </w:rPr>
              <w:drawing>
                <wp:inline distT="0" distB="0" distL="0" distR="0" wp14:anchorId="3BD9DE66" wp14:editId="3035C081">
                  <wp:extent cx="781467" cy="14837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S Seco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3934" cy="1488429"/>
                          </a:xfrm>
                          <a:prstGeom prst="rect">
                            <a:avLst/>
                          </a:prstGeom>
                        </pic:spPr>
                      </pic:pic>
                    </a:graphicData>
                  </a:graphic>
                </wp:inline>
              </w:drawing>
            </w:r>
          </w:p>
        </w:tc>
        <w:tc>
          <w:tcPr>
            <w:tcW w:w="2305" w:type="dxa"/>
            <w:tcMar>
              <w:left w:w="29" w:type="dxa"/>
              <w:right w:w="29" w:type="dxa"/>
            </w:tcMar>
          </w:tcPr>
          <w:p w:rsidR="00874C43" w:rsidRDefault="00930A9D" w:rsidP="0082716E">
            <w:pPr>
              <w:jc w:val="center"/>
            </w:pPr>
            <w:r>
              <w:rPr>
                <w:noProof/>
              </w:rPr>
              <w:drawing>
                <wp:inline distT="0" distB="0" distL="0" distR="0" wp14:anchorId="1926D95A" wp14:editId="026D05ED">
                  <wp:extent cx="750608" cy="1483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S Thir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044" cy="1486582"/>
                          </a:xfrm>
                          <a:prstGeom prst="rect">
                            <a:avLst/>
                          </a:prstGeom>
                        </pic:spPr>
                      </pic:pic>
                    </a:graphicData>
                  </a:graphic>
                </wp:inline>
              </w:drawing>
            </w:r>
          </w:p>
        </w:tc>
      </w:tr>
      <w:tr w:rsidR="00874C43" w:rsidTr="00BE0AA5">
        <w:tc>
          <w:tcPr>
            <w:tcW w:w="6840" w:type="dxa"/>
            <w:gridSpan w:val="3"/>
            <w:tcMar>
              <w:left w:w="29" w:type="dxa"/>
              <w:right w:w="29" w:type="dxa"/>
            </w:tcMar>
          </w:tcPr>
          <w:p w:rsidR="00874C43" w:rsidRPr="002B49B8" w:rsidRDefault="00874C43" w:rsidP="00390FD6">
            <w:pPr>
              <w:spacing w:before="240"/>
              <w:jc w:val="center"/>
              <w:rPr>
                <w:b/>
              </w:rPr>
            </w:pPr>
            <w:r w:rsidRPr="002B49B8">
              <w:rPr>
                <w:b/>
              </w:rPr>
              <w:t>Criteria</w:t>
            </w:r>
          </w:p>
          <w:p w:rsidR="00874C43" w:rsidRDefault="00011F9E" w:rsidP="00011F9E">
            <w:pPr>
              <w:ind w:right="331"/>
              <w:rPr>
                <w:rFonts w:cs="Times New Roman"/>
              </w:rPr>
            </w:pPr>
            <w:r>
              <w:rPr>
                <w:rFonts w:cs="Times New Roman"/>
              </w:rPr>
              <w:t>Blue Ribbon = First Place, Grand Award</w:t>
            </w:r>
          </w:p>
          <w:p w:rsidR="00011F9E" w:rsidRDefault="00011F9E" w:rsidP="00011F9E">
            <w:pPr>
              <w:ind w:right="331"/>
              <w:rPr>
                <w:rFonts w:cs="Times New Roman"/>
              </w:rPr>
            </w:pPr>
            <w:r>
              <w:rPr>
                <w:rFonts w:cs="Times New Roman"/>
              </w:rPr>
              <w:t>Red Ribbon = Second Place, Reserve Grand Award</w:t>
            </w:r>
          </w:p>
          <w:p w:rsidR="00011F9E" w:rsidRDefault="00011F9E" w:rsidP="00011F9E">
            <w:pPr>
              <w:ind w:right="331"/>
              <w:rPr>
                <w:rFonts w:cs="Times New Roman"/>
              </w:rPr>
            </w:pPr>
            <w:r>
              <w:rPr>
                <w:rFonts w:cs="Times New Roman"/>
              </w:rPr>
              <w:t>Yellow Ribbon = Third Place, People’s Choice Award</w:t>
            </w:r>
          </w:p>
          <w:p w:rsidR="00056054" w:rsidRPr="0082716E" w:rsidRDefault="00056054" w:rsidP="00E44606">
            <w:pPr>
              <w:ind w:right="331" w:firstLine="360"/>
              <w:rPr>
                <w:rFonts w:cs="Times New Roman"/>
              </w:rPr>
            </w:pPr>
            <w:r>
              <w:rPr>
                <w:rFonts w:cs="Times New Roman"/>
              </w:rPr>
              <w:t xml:space="preserve">Only club members </w:t>
            </w:r>
            <w:r w:rsidR="00011F9E">
              <w:rPr>
                <w:rFonts w:cs="Times New Roman"/>
              </w:rPr>
              <w:t xml:space="preserve">who attend the </w:t>
            </w:r>
            <w:r w:rsidR="00E44606">
              <w:rPr>
                <w:rFonts w:cs="Times New Roman"/>
              </w:rPr>
              <w:t xml:space="preserve">MPS annual </w:t>
            </w:r>
            <w:r w:rsidR="00011F9E">
              <w:rPr>
                <w:rFonts w:cs="Times New Roman"/>
              </w:rPr>
              <w:t xml:space="preserve">show </w:t>
            </w:r>
            <w:r>
              <w:rPr>
                <w:rFonts w:cs="Times New Roman"/>
              </w:rPr>
              <w:t xml:space="preserve">may vote. </w:t>
            </w:r>
            <w:r w:rsidR="00011F9E">
              <w:rPr>
                <w:rFonts w:cs="Times New Roman"/>
              </w:rPr>
              <w:t>Club members</w:t>
            </w:r>
            <w:r>
              <w:rPr>
                <w:rFonts w:cs="Times New Roman"/>
              </w:rPr>
              <w:t xml:space="preserve"> vote one time for First, Second, and Third place choices: only one ballot </w:t>
            </w:r>
            <w:r w:rsidR="00E44606">
              <w:rPr>
                <w:rFonts w:cs="Times New Roman"/>
              </w:rPr>
              <w:t xml:space="preserve">authorized </w:t>
            </w:r>
            <w:r>
              <w:rPr>
                <w:rFonts w:cs="Times New Roman"/>
              </w:rPr>
              <w:t>per</w:t>
            </w:r>
            <w:r w:rsidR="00011F9E">
              <w:rPr>
                <w:rFonts w:cs="Times New Roman"/>
              </w:rPr>
              <w:t xml:space="preserve"> club</w:t>
            </w:r>
            <w:r>
              <w:rPr>
                <w:rFonts w:cs="Times New Roman"/>
              </w:rPr>
              <w:t xml:space="preserve"> member.</w:t>
            </w:r>
            <w:r w:rsidR="0073080F">
              <w:rPr>
                <w:rFonts w:cs="Times New Roman"/>
              </w:rPr>
              <w:t xml:space="preserve"> </w:t>
            </w:r>
            <w:r>
              <w:rPr>
                <w:rFonts w:cs="Times New Roman"/>
              </w:rPr>
              <w:t xml:space="preserve">Exhibit </w:t>
            </w:r>
            <w:r w:rsidR="00011F9E">
              <w:rPr>
                <w:rFonts w:cs="Times New Roman"/>
              </w:rPr>
              <w:t xml:space="preserve">Frame </w:t>
            </w:r>
            <w:r>
              <w:rPr>
                <w:rFonts w:cs="Times New Roman"/>
              </w:rPr>
              <w:t xml:space="preserve">Numbers </w:t>
            </w:r>
            <w:r w:rsidR="00011F9E">
              <w:rPr>
                <w:rFonts w:cs="Times New Roman"/>
              </w:rPr>
              <w:t xml:space="preserve">are </w:t>
            </w:r>
            <w:r>
              <w:rPr>
                <w:rFonts w:cs="Times New Roman"/>
              </w:rPr>
              <w:t xml:space="preserve">marked </w:t>
            </w:r>
            <w:r w:rsidR="00011F9E">
              <w:rPr>
                <w:rFonts w:cs="Times New Roman"/>
              </w:rPr>
              <w:t>at</w:t>
            </w:r>
            <w:r>
              <w:rPr>
                <w:rFonts w:cs="Times New Roman"/>
              </w:rPr>
              <w:t xml:space="preserve"> the top right corner of each frame.</w:t>
            </w:r>
            <w:r w:rsidR="00E44606">
              <w:rPr>
                <w:rFonts w:cs="Times New Roman"/>
              </w:rPr>
              <w:t xml:space="preserve"> Special ballots and a show brochure provided at the show.</w:t>
            </w:r>
          </w:p>
        </w:tc>
      </w:tr>
    </w:tbl>
    <w:p w:rsidR="00AA1F81" w:rsidRDefault="00AA1F81"/>
    <w:tbl>
      <w:tblPr>
        <w:tblStyle w:val="TableGrid"/>
        <w:tblW w:w="6834"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5214"/>
      </w:tblGrid>
      <w:tr w:rsidR="000456B1" w:rsidTr="00AA1F81">
        <w:tc>
          <w:tcPr>
            <w:tcW w:w="6834" w:type="dxa"/>
            <w:gridSpan w:val="2"/>
            <w:tcMar>
              <w:left w:w="29" w:type="dxa"/>
              <w:right w:w="29" w:type="dxa"/>
            </w:tcMar>
          </w:tcPr>
          <w:p w:rsidR="000456B1" w:rsidRDefault="000456B1" w:rsidP="00E276F4">
            <w:pPr>
              <w:jc w:val="center"/>
              <w:rPr>
                <w:b/>
              </w:rPr>
            </w:pPr>
            <w:r>
              <w:rPr>
                <w:b/>
              </w:rPr>
              <w:t>Midwest Philatelic Society</w:t>
            </w:r>
          </w:p>
          <w:p w:rsidR="000456B1" w:rsidRPr="002B49B8" w:rsidRDefault="000456B1" w:rsidP="00E276F4">
            <w:pPr>
              <w:spacing w:after="120"/>
              <w:jc w:val="center"/>
              <w:rPr>
                <w:b/>
              </w:rPr>
            </w:pPr>
            <w:r w:rsidRPr="002B49B8">
              <w:rPr>
                <w:b/>
              </w:rPr>
              <w:t>“</w:t>
            </w:r>
            <w:r>
              <w:rPr>
                <w:b/>
              </w:rPr>
              <w:t>Junior Exhibitor First Place Award</w:t>
            </w:r>
            <w:r w:rsidRPr="002B49B8">
              <w:rPr>
                <w:b/>
              </w:rPr>
              <w:t>”</w:t>
            </w:r>
          </w:p>
        </w:tc>
      </w:tr>
      <w:tr w:rsidR="0073080F" w:rsidTr="0073080F">
        <w:tc>
          <w:tcPr>
            <w:tcW w:w="1620" w:type="dxa"/>
            <w:tcMar>
              <w:left w:w="29" w:type="dxa"/>
              <w:right w:w="29" w:type="dxa"/>
            </w:tcMar>
          </w:tcPr>
          <w:p w:rsidR="0073080F" w:rsidRDefault="0073080F" w:rsidP="00DA5985">
            <w:pPr>
              <w:jc w:val="center"/>
            </w:pPr>
            <w:r>
              <w:rPr>
                <w:noProof/>
              </w:rPr>
              <w:drawing>
                <wp:inline distT="0" distB="0" distL="0" distR="0" wp14:anchorId="41C735D9" wp14:editId="1269A093">
                  <wp:extent cx="529502" cy="10734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it_0001_NE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2917" cy="1080348"/>
                          </a:xfrm>
                          <a:prstGeom prst="rect">
                            <a:avLst/>
                          </a:prstGeom>
                        </pic:spPr>
                      </pic:pic>
                    </a:graphicData>
                  </a:graphic>
                </wp:inline>
              </w:drawing>
            </w:r>
          </w:p>
        </w:tc>
        <w:tc>
          <w:tcPr>
            <w:tcW w:w="5214" w:type="dxa"/>
          </w:tcPr>
          <w:p w:rsidR="0073080F" w:rsidRPr="002B49B8" w:rsidRDefault="0073080F" w:rsidP="0073080F">
            <w:pPr>
              <w:spacing w:before="240"/>
              <w:jc w:val="center"/>
              <w:rPr>
                <w:b/>
              </w:rPr>
            </w:pPr>
            <w:r w:rsidRPr="002B49B8">
              <w:rPr>
                <w:b/>
              </w:rPr>
              <w:t>Criteria</w:t>
            </w:r>
          </w:p>
          <w:p w:rsidR="0073080F" w:rsidRPr="0073080F" w:rsidRDefault="0073080F" w:rsidP="0073080F">
            <w:pPr>
              <w:pStyle w:val="ListParagraph"/>
              <w:ind w:left="72" w:right="66" w:firstLine="288"/>
              <w:rPr>
                <w:rFonts w:cs="Times New Roman"/>
              </w:rPr>
            </w:pPr>
            <w:r w:rsidRPr="0082716E">
              <w:rPr>
                <w:rFonts w:cs="Times New Roman"/>
              </w:rPr>
              <w:t xml:space="preserve">This </w:t>
            </w:r>
            <w:r>
              <w:rPr>
                <w:rFonts w:cs="Times New Roman"/>
              </w:rPr>
              <w:t>ribbon</w:t>
            </w:r>
            <w:r w:rsidRPr="0082716E">
              <w:rPr>
                <w:rFonts w:cs="Times New Roman"/>
              </w:rPr>
              <w:t xml:space="preserve"> shall be </w:t>
            </w:r>
            <w:r>
              <w:rPr>
                <w:rFonts w:cs="Times New Roman"/>
              </w:rPr>
              <w:t>awarded</w:t>
            </w:r>
            <w:r w:rsidRPr="0082716E">
              <w:rPr>
                <w:rFonts w:cs="Times New Roman"/>
              </w:rPr>
              <w:t xml:space="preserve"> to the exhibit </w:t>
            </w:r>
            <w:r>
              <w:rPr>
                <w:rFonts w:cs="Times New Roman"/>
              </w:rPr>
              <w:t>entered by a j</w:t>
            </w:r>
            <w:r w:rsidRPr="0082716E">
              <w:rPr>
                <w:rFonts w:cs="Times New Roman"/>
              </w:rPr>
              <w:t xml:space="preserve">unior </w:t>
            </w:r>
            <w:r>
              <w:rPr>
                <w:rFonts w:cs="Times New Roman"/>
              </w:rPr>
              <w:t>exhibitor</w:t>
            </w:r>
            <w:r w:rsidRPr="0082716E">
              <w:rPr>
                <w:rFonts w:cs="Times New Roman"/>
              </w:rPr>
              <w:t xml:space="preserve"> that best follows the exhibiting practices presented </w:t>
            </w:r>
            <w:r>
              <w:rPr>
                <w:rFonts w:cs="Times New Roman"/>
              </w:rPr>
              <w:t>by APS/AAPE guidelines</w:t>
            </w:r>
            <w:r w:rsidRPr="0082716E">
              <w:rPr>
                <w:rFonts w:cs="Times New Roman"/>
              </w:rPr>
              <w:t>. To qualify for this award the following provisions must be met:</w:t>
            </w:r>
          </w:p>
        </w:tc>
      </w:tr>
      <w:tr w:rsidR="000456B1" w:rsidTr="00AA1F81">
        <w:tc>
          <w:tcPr>
            <w:tcW w:w="6834" w:type="dxa"/>
            <w:gridSpan w:val="2"/>
            <w:tcMar>
              <w:left w:w="29" w:type="dxa"/>
              <w:right w:w="29" w:type="dxa"/>
            </w:tcMar>
          </w:tcPr>
          <w:p w:rsidR="000456B1" w:rsidRPr="0082716E" w:rsidRDefault="00AA1F81" w:rsidP="00E276F4">
            <w:pPr>
              <w:pStyle w:val="ListParagraph"/>
              <w:numPr>
                <w:ilvl w:val="0"/>
                <w:numId w:val="1"/>
              </w:numPr>
              <w:ind w:right="331"/>
              <w:rPr>
                <w:rFonts w:cs="Times New Roman"/>
              </w:rPr>
            </w:pPr>
            <w:r>
              <w:rPr>
                <w:rFonts w:cs="Times New Roman"/>
              </w:rPr>
              <w:t xml:space="preserve">The </w:t>
            </w:r>
            <w:r w:rsidR="000456B1" w:rsidRPr="0082716E">
              <w:rPr>
                <w:rFonts w:cs="Times New Roman"/>
              </w:rPr>
              <w:t xml:space="preserve">exhibit shall have a title page plus </w:t>
            </w:r>
            <w:r>
              <w:rPr>
                <w:rFonts w:cs="Times New Roman"/>
              </w:rPr>
              <w:t>a minimum of</w:t>
            </w:r>
            <w:r w:rsidR="000456B1" w:rsidRPr="0082716E">
              <w:rPr>
                <w:rFonts w:cs="Times New Roman"/>
              </w:rPr>
              <w:t xml:space="preserve"> four pages containing philatelic material.</w:t>
            </w:r>
          </w:p>
          <w:p w:rsidR="000456B1" w:rsidRPr="00B54F96" w:rsidRDefault="00AA1F81" w:rsidP="00AA1F81">
            <w:pPr>
              <w:pStyle w:val="ListParagraph"/>
              <w:numPr>
                <w:ilvl w:val="0"/>
                <w:numId w:val="1"/>
              </w:numPr>
              <w:ind w:right="331"/>
              <w:rPr>
                <w:rFonts w:ascii="Times New Roman" w:hAnsi="Times New Roman" w:cs="Times New Roman"/>
              </w:rPr>
            </w:pPr>
            <w:r>
              <w:rPr>
                <w:rFonts w:cs="Times New Roman"/>
              </w:rPr>
              <w:t>There must be at least two j</w:t>
            </w:r>
            <w:r w:rsidR="000456B1" w:rsidRPr="0082716E">
              <w:rPr>
                <w:rFonts w:cs="Times New Roman"/>
              </w:rPr>
              <w:t xml:space="preserve">unior </w:t>
            </w:r>
            <w:r>
              <w:rPr>
                <w:rFonts w:cs="Times New Roman"/>
              </w:rPr>
              <w:t>exhibitors</w:t>
            </w:r>
            <w:r w:rsidR="000456B1" w:rsidRPr="0082716E">
              <w:rPr>
                <w:rFonts w:cs="Times New Roman"/>
              </w:rPr>
              <w:t xml:space="preserve"> presenting such exhibits</w:t>
            </w:r>
            <w:r w:rsidR="00305C3F">
              <w:rPr>
                <w:rFonts w:cs="Times New Roman"/>
              </w:rPr>
              <w:t xml:space="preserve"> between the ages of 10 and 16</w:t>
            </w:r>
            <w:r w:rsidR="000456B1" w:rsidRPr="0082716E">
              <w:rPr>
                <w:rFonts w:cs="Times New Roman"/>
              </w:rPr>
              <w:t>.</w:t>
            </w:r>
          </w:p>
        </w:tc>
      </w:tr>
    </w:tbl>
    <w:p w:rsidR="0082716E" w:rsidRDefault="0082716E"/>
    <w:tbl>
      <w:tblPr>
        <w:tblStyle w:val="TableGrid"/>
        <w:tblW w:w="6480"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0"/>
      </w:tblGrid>
      <w:tr w:rsidR="0082716E" w:rsidTr="0073080F">
        <w:tc>
          <w:tcPr>
            <w:tcW w:w="6480" w:type="dxa"/>
            <w:tcMar>
              <w:left w:w="29" w:type="dxa"/>
              <w:right w:w="29" w:type="dxa"/>
            </w:tcMar>
          </w:tcPr>
          <w:p w:rsidR="0082716E" w:rsidRDefault="0082716E" w:rsidP="00390FD6">
            <w:pPr>
              <w:jc w:val="center"/>
              <w:rPr>
                <w:b/>
              </w:rPr>
            </w:pPr>
            <w:r>
              <w:rPr>
                <w:b/>
              </w:rPr>
              <w:lastRenderedPageBreak/>
              <w:t>Midwest Philatelic Society</w:t>
            </w:r>
          </w:p>
          <w:p w:rsidR="0082716E" w:rsidRPr="002B49B8" w:rsidRDefault="0082716E" w:rsidP="0085042F">
            <w:pPr>
              <w:spacing w:after="120"/>
              <w:jc w:val="center"/>
              <w:rPr>
                <w:b/>
              </w:rPr>
            </w:pPr>
            <w:r w:rsidRPr="002B49B8">
              <w:rPr>
                <w:b/>
              </w:rPr>
              <w:t>“</w:t>
            </w:r>
            <w:r w:rsidR="0085042F">
              <w:rPr>
                <w:b/>
              </w:rPr>
              <w:t xml:space="preserve">The </w:t>
            </w:r>
            <w:r>
              <w:rPr>
                <w:b/>
              </w:rPr>
              <w:t xml:space="preserve">Martin </w:t>
            </w:r>
            <w:proofErr w:type="spellStart"/>
            <w:r>
              <w:rPr>
                <w:b/>
              </w:rPr>
              <w:t>Finklestein</w:t>
            </w:r>
            <w:proofErr w:type="spellEnd"/>
            <w:r>
              <w:rPr>
                <w:b/>
              </w:rPr>
              <w:t xml:space="preserve"> MPS Research Award</w:t>
            </w:r>
            <w:r w:rsidRPr="002B49B8">
              <w:rPr>
                <w:b/>
              </w:rPr>
              <w:t>”</w:t>
            </w:r>
          </w:p>
        </w:tc>
      </w:tr>
      <w:tr w:rsidR="00DA5985" w:rsidTr="0073080F">
        <w:tc>
          <w:tcPr>
            <w:tcW w:w="6480" w:type="dxa"/>
            <w:tcMar>
              <w:left w:w="29" w:type="dxa"/>
              <w:right w:w="29" w:type="dxa"/>
            </w:tcMar>
          </w:tcPr>
          <w:p w:rsidR="00DA5985" w:rsidRDefault="00DA5985" w:rsidP="00DA5985">
            <w:pPr>
              <w:jc w:val="center"/>
            </w:pPr>
            <w:r w:rsidRPr="00797459">
              <w:rPr>
                <w:sz w:val="48"/>
                <w:szCs w:val="48"/>
              </w:rPr>
              <w:sym w:font="Wingdings 2" w:char="F0F3"/>
            </w:r>
            <w:r w:rsidRPr="00797459">
              <w:rPr>
                <w:sz w:val="48"/>
                <w:szCs w:val="48"/>
              </w:rPr>
              <w:sym w:font="Wingdings 2" w:char="F0F3"/>
            </w:r>
            <w:r w:rsidRPr="00797459">
              <w:rPr>
                <w:sz w:val="48"/>
                <w:szCs w:val="48"/>
              </w:rPr>
              <w:sym w:font="Wingdings 2" w:char="F0F3"/>
            </w:r>
            <w:r w:rsidRPr="00797459">
              <w:rPr>
                <w:sz w:val="48"/>
                <w:szCs w:val="48"/>
              </w:rPr>
              <w:sym w:font="Wingdings 2" w:char="F0F3"/>
            </w:r>
            <w:r w:rsidRPr="00797459">
              <w:rPr>
                <w:sz w:val="48"/>
                <w:szCs w:val="48"/>
              </w:rPr>
              <w:sym w:font="Wingdings 2" w:char="F0F3"/>
            </w:r>
          </w:p>
        </w:tc>
      </w:tr>
      <w:tr w:rsidR="0082716E" w:rsidTr="0073080F">
        <w:tc>
          <w:tcPr>
            <w:tcW w:w="6480" w:type="dxa"/>
            <w:tcMar>
              <w:left w:w="29" w:type="dxa"/>
              <w:right w:w="29" w:type="dxa"/>
            </w:tcMar>
          </w:tcPr>
          <w:p w:rsidR="0082716E" w:rsidRPr="002B49B8" w:rsidRDefault="0082716E" w:rsidP="00390FD6">
            <w:pPr>
              <w:spacing w:before="240"/>
              <w:jc w:val="center"/>
              <w:rPr>
                <w:b/>
              </w:rPr>
            </w:pPr>
            <w:r w:rsidRPr="002B49B8">
              <w:rPr>
                <w:b/>
              </w:rPr>
              <w:t>Criteria</w:t>
            </w:r>
          </w:p>
          <w:p w:rsidR="0082716E" w:rsidRDefault="0082716E" w:rsidP="00390FD6">
            <w:r>
              <w:t xml:space="preserve">The award will be given to an exhibit which: </w:t>
            </w:r>
          </w:p>
          <w:p w:rsidR="0082716E" w:rsidRDefault="0082716E" w:rsidP="00390FD6">
            <w:pPr>
              <w:pStyle w:val="ListParagraph"/>
              <w:numPr>
                <w:ilvl w:val="0"/>
                <w:numId w:val="3"/>
              </w:numPr>
            </w:pPr>
            <w:r>
              <w:t>Displays the best original research,</w:t>
            </w:r>
          </w:p>
          <w:p w:rsidR="0082716E" w:rsidRDefault="0082716E" w:rsidP="00390FD6">
            <w:pPr>
              <w:pStyle w:val="ListParagraph"/>
              <w:numPr>
                <w:ilvl w:val="0"/>
                <w:numId w:val="3"/>
              </w:numPr>
            </w:pPr>
            <w:r>
              <w:t>secondary research,</w:t>
            </w:r>
          </w:p>
          <w:p w:rsidR="0082716E" w:rsidRDefault="0082716E" w:rsidP="00390FD6">
            <w:pPr>
              <w:pStyle w:val="ListParagraph"/>
              <w:numPr>
                <w:ilvl w:val="0"/>
                <w:numId w:val="3"/>
              </w:numPr>
            </w:pPr>
            <w:r>
              <w:t>assemblage of information from several sources usually arriving at a conclusion never before published,</w:t>
            </w:r>
          </w:p>
          <w:p w:rsidR="0082716E" w:rsidRDefault="0082716E" w:rsidP="00390FD6">
            <w:pPr>
              <w:pStyle w:val="ListParagraph"/>
              <w:numPr>
                <w:ilvl w:val="0"/>
                <w:numId w:val="3"/>
              </w:numPr>
            </w:pPr>
            <w:r>
              <w:t>in-depth study for which little or no philatelic documentation has been recorded,</w:t>
            </w:r>
          </w:p>
          <w:p w:rsidR="0082716E" w:rsidRDefault="0082716E" w:rsidP="00390FD6">
            <w:pPr>
              <w:pStyle w:val="ListParagraph"/>
              <w:numPr>
                <w:ilvl w:val="0"/>
                <w:numId w:val="3"/>
              </w:numPr>
            </w:pPr>
            <w:proofErr w:type="gramStart"/>
            <w:r>
              <w:t>or</w:t>
            </w:r>
            <w:proofErr w:type="gramEnd"/>
            <w:r>
              <w:t xml:space="preserve"> in-depth study with an original approach which covers areas not seen on the subject.</w:t>
            </w:r>
          </w:p>
          <w:p w:rsidR="0082716E" w:rsidRPr="00E61A0B" w:rsidRDefault="0082716E" w:rsidP="00E61A0B">
            <w:pPr>
              <w:ind w:left="270"/>
            </w:pPr>
            <w:r>
              <w:t>Note: Conventional data gathered from stamp catalogs is not considered original research information.</w:t>
            </w:r>
          </w:p>
        </w:tc>
      </w:tr>
    </w:tbl>
    <w:p w:rsidR="0082716E" w:rsidRDefault="0082716E"/>
    <w:tbl>
      <w:tblPr>
        <w:tblStyle w:val="TableGrid"/>
        <w:tblW w:w="6480"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tblGrid>
      <w:tr w:rsidR="0082716E" w:rsidTr="0082716E">
        <w:tc>
          <w:tcPr>
            <w:tcW w:w="6480" w:type="dxa"/>
            <w:tcMar>
              <w:left w:w="29" w:type="dxa"/>
              <w:right w:w="29" w:type="dxa"/>
            </w:tcMar>
          </w:tcPr>
          <w:p w:rsidR="0082716E" w:rsidRDefault="0082716E" w:rsidP="00390FD6">
            <w:pPr>
              <w:jc w:val="center"/>
              <w:rPr>
                <w:b/>
              </w:rPr>
            </w:pPr>
            <w:r w:rsidRPr="002B49B8">
              <w:rPr>
                <w:b/>
              </w:rPr>
              <w:t xml:space="preserve">Women Exhibitors </w:t>
            </w:r>
          </w:p>
          <w:p w:rsidR="0082716E" w:rsidRPr="002B49B8" w:rsidRDefault="0082716E" w:rsidP="00390FD6">
            <w:pPr>
              <w:spacing w:after="120"/>
              <w:jc w:val="center"/>
              <w:rPr>
                <w:b/>
              </w:rPr>
            </w:pPr>
            <w:r w:rsidRPr="002B49B8">
              <w:rPr>
                <w:b/>
              </w:rPr>
              <w:t>“Sterling Achievement Award”</w:t>
            </w:r>
          </w:p>
        </w:tc>
      </w:tr>
      <w:tr w:rsidR="00DA5985" w:rsidTr="00106E18">
        <w:tc>
          <w:tcPr>
            <w:tcW w:w="6480" w:type="dxa"/>
            <w:tcMar>
              <w:left w:w="29" w:type="dxa"/>
              <w:right w:w="29" w:type="dxa"/>
            </w:tcMar>
          </w:tcPr>
          <w:p w:rsidR="00DA5985" w:rsidRDefault="00DA5985" w:rsidP="00DA5985">
            <w:pPr>
              <w:jc w:val="center"/>
            </w:pPr>
            <w:r>
              <w:rPr>
                <w:noProof/>
              </w:rPr>
              <w:drawing>
                <wp:inline distT="0" distB="0" distL="0" distR="0">
                  <wp:extent cx="702259" cy="798941"/>
                  <wp:effectExtent l="19050" t="0" r="259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35000"/>
                          </a:blip>
                          <a:srcRect/>
                          <a:stretch>
                            <a:fillRect/>
                          </a:stretch>
                        </pic:blipFill>
                        <pic:spPr bwMode="auto">
                          <a:xfrm>
                            <a:off x="0" y="0"/>
                            <a:ext cx="705388" cy="802501"/>
                          </a:xfrm>
                          <a:prstGeom prst="rect">
                            <a:avLst/>
                          </a:prstGeom>
                          <a:noFill/>
                          <a:ln w="9525">
                            <a:noFill/>
                            <a:miter lim="800000"/>
                            <a:headEnd/>
                            <a:tailEnd/>
                          </a:ln>
                        </pic:spPr>
                      </pic:pic>
                    </a:graphicData>
                  </a:graphic>
                </wp:inline>
              </w:drawing>
            </w:r>
          </w:p>
        </w:tc>
      </w:tr>
      <w:tr w:rsidR="0082716E" w:rsidTr="0082716E">
        <w:tc>
          <w:tcPr>
            <w:tcW w:w="6480" w:type="dxa"/>
            <w:tcMar>
              <w:left w:w="29" w:type="dxa"/>
              <w:right w:w="29" w:type="dxa"/>
            </w:tcMar>
          </w:tcPr>
          <w:p w:rsidR="0082716E" w:rsidRPr="002B49B8" w:rsidRDefault="0082716E" w:rsidP="00390FD6">
            <w:pPr>
              <w:spacing w:before="240"/>
              <w:jc w:val="center"/>
              <w:rPr>
                <w:b/>
              </w:rPr>
            </w:pPr>
            <w:r w:rsidRPr="002B49B8">
              <w:rPr>
                <w:b/>
              </w:rPr>
              <w:t>Criteria</w:t>
            </w:r>
          </w:p>
          <w:p w:rsidR="0082716E" w:rsidRDefault="0082716E" w:rsidP="00390FD6">
            <w:pPr>
              <w:pStyle w:val="ListParagraph"/>
              <w:numPr>
                <w:ilvl w:val="0"/>
                <w:numId w:val="1"/>
              </w:numPr>
              <w:ind w:left="270" w:right="241" w:hanging="180"/>
            </w:pPr>
            <w:r>
              <w:t xml:space="preserve">To recognize ANY exhibit that did </w:t>
            </w:r>
            <w:r w:rsidRPr="00F5139A">
              <w:rPr>
                <w:b/>
                <w:u w:val="single"/>
              </w:rPr>
              <w:t>not</w:t>
            </w:r>
            <w:r>
              <w:t xml:space="preserve"> </w:t>
            </w:r>
            <w:r w:rsidRPr="00F5139A">
              <w:t>win one of the club’s 1st, 2nd, or 3rd place ribbons</w:t>
            </w:r>
            <w:r>
              <w:t>, but shows merit in philatelic knowledge, subject knowledge, material OR treatment.</w:t>
            </w:r>
          </w:p>
          <w:p w:rsidR="0082716E" w:rsidRDefault="0082716E" w:rsidP="00390FD6">
            <w:pPr>
              <w:pStyle w:val="ListParagraph"/>
              <w:numPr>
                <w:ilvl w:val="0"/>
                <w:numId w:val="1"/>
              </w:numPr>
              <w:ind w:left="270" w:right="241" w:hanging="180"/>
            </w:pPr>
            <w:r>
              <w:t>Serves as an encouragement to a promising exhibit.</w:t>
            </w:r>
          </w:p>
          <w:p w:rsidR="0082716E" w:rsidRDefault="0082716E" w:rsidP="00390FD6">
            <w:pPr>
              <w:pStyle w:val="ListParagraph"/>
              <w:numPr>
                <w:ilvl w:val="0"/>
                <w:numId w:val="1"/>
              </w:numPr>
              <w:ind w:left="270" w:right="241" w:hanging="180"/>
            </w:pPr>
            <w:r>
              <w:t>The award is not only for women exhibitors: it can be given to ANY exhibit, including those by men and youth, who meet the criteria.</w:t>
            </w:r>
          </w:p>
        </w:tc>
      </w:tr>
    </w:tbl>
    <w:p w:rsidR="00DA5985" w:rsidRDefault="00DA5985"/>
    <w:p w:rsidR="00E61A0B" w:rsidRDefault="00E61A0B"/>
    <w:p w:rsidR="00E61A0B" w:rsidRDefault="00E61A0B"/>
    <w:tbl>
      <w:tblPr>
        <w:tblStyle w:val="TableGrid"/>
        <w:tblW w:w="6807"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7"/>
      </w:tblGrid>
      <w:tr w:rsidR="003D5C2D" w:rsidTr="00DA5985">
        <w:tc>
          <w:tcPr>
            <w:tcW w:w="6807" w:type="dxa"/>
            <w:tcMar>
              <w:left w:w="29" w:type="dxa"/>
              <w:right w:w="29" w:type="dxa"/>
            </w:tcMar>
          </w:tcPr>
          <w:p w:rsidR="003D5C2D" w:rsidRDefault="00A6611C" w:rsidP="00DA5AF7">
            <w:pPr>
              <w:jc w:val="center"/>
              <w:rPr>
                <w:b/>
              </w:rPr>
            </w:pPr>
            <w:r>
              <w:lastRenderedPageBreak/>
              <w:br w:type="column"/>
            </w:r>
            <w:r w:rsidR="003D5C2D">
              <w:rPr>
                <w:b/>
              </w:rPr>
              <w:t>The American Association of Philatelic</w:t>
            </w:r>
            <w:r w:rsidR="003D5C2D" w:rsidRPr="002B49B8">
              <w:rPr>
                <w:b/>
              </w:rPr>
              <w:t xml:space="preserve"> Exhibitors </w:t>
            </w:r>
          </w:p>
          <w:p w:rsidR="003D5C2D" w:rsidRPr="002B49B8" w:rsidRDefault="003D5C2D" w:rsidP="00D60E35">
            <w:pPr>
              <w:spacing w:after="120"/>
              <w:jc w:val="center"/>
              <w:rPr>
                <w:b/>
              </w:rPr>
            </w:pPr>
            <w:r w:rsidRPr="002B49B8">
              <w:rPr>
                <w:b/>
              </w:rPr>
              <w:t>“</w:t>
            </w:r>
            <w:r>
              <w:rPr>
                <w:b/>
              </w:rPr>
              <w:t>AAPE Silver Award of Honor Pin</w:t>
            </w:r>
            <w:r w:rsidRPr="002B49B8">
              <w:rPr>
                <w:b/>
              </w:rPr>
              <w:t>”</w:t>
            </w:r>
          </w:p>
        </w:tc>
      </w:tr>
      <w:tr w:rsidR="00DA5985" w:rsidTr="001E5794">
        <w:tc>
          <w:tcPr>
            <w:tcW w:w="6807" w:type="dxa"/>
            <w:tcMar>
              <w:left w:w="29" w:type="dxa"/>
              <w:right w:w="29" w:type="dxa"/>
            </w:tcMar>
          </w:tcPr>
          <w:p w:rsidR="00DA5985" w:rsidRDefault="00DA5985" w:rsidP="00DA5985">
            <w:pPr>
              <w:jc w:val="center"/>
            </w:pPr>
            <w:r>
              <w:rPr>
                <w:noProof/>
              </w:rPr>
              <w:drawing>
                <wp:inline distT="0" distB="0" distL="0" distR="0">
                  <wp:extent cx="574536" cy="74615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pe_NEW.jpg"/>
                          <pic:cNvPicPr/>
                        </pic:nvPicPr>
                        <pic:blipFill>
                          <a:blip r:embed="rId12" cstate="print">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76032" cy="748094"/>
                          </a:xfrm>
                          <a:prstGeom prst="rect">
                            <a:avLst/>
                          </a:prstGeom>
                        </pic:spPr>
                      </pic:pic>
                    </a:graphicData>
                  </a:graphic>
                </wp:inline>
              </w:drawing>
            </w:r>
          </w:p>
        </w:tc>
      </w:tr>
      <w:tr w:rsidR="003D5C2D" w:rsidTr="00DA5985">
        <w:tc>
          <w:tcPr>
            <w:tcW w:w="6807" w:type="dxa"/>
            <w:tcMar>
              <w:left w:w="29" w:type="dxa"/>
              <w:right w:w="29" w:type="dxa"/>
            </w:tcMar>
          </w:tcPr>
          <w:p w:rsidR="003D5C2D" w:rsidRPr="002B49B8" w:rsidRDefault="003D5C2D" w:rsidP="00D60E35">
            <w:pPr>
              <w:spacing w:before="240"/>
              <w:jc w:val="center"/>
              <w:rPr>
                <w:b/>
              </w:rPr>
            </w:pPr>
            <w:r w:rsidRPr="002B49B8">
              <w:rPr>
                <w:b/>
              </w:rPr>
              <w:t>Criteria</w:t>
            </w:r>
          </w:p>
          <w:p w:rsidR="003D5C2D" w:rsidRDefault="003D5C2D" w:rsidP="006B5AF6">
            <w:pPr>
              <w:pStyle w:val="ListParagraph"/>
              <w:numPr>
                <w:ilvl w:val="0"/>
                <w:numId w:val="1"/>
              </w:numPr>
            </w:pPr>
            <w:r>
              <w:t xml:space="preserve">AAPE </w:t>
            </w:r>
            <w:r w:rsidR="00012975">
              <w:t>requests the</w:t>
            </w:r>
            <w:r>
              <w:t xml:space="preserve"> pin be awarded to the exhibit</w:t>
            </w:r>
            <w:r w:rsidR="006B5AF6">
              <w:t xml:space="preserve"> </w:t>
            </w:r>
            <w:r w:rsidR="006B5AF6" w:rsidRPr="006B5AF6">
              <w:t xml:space="preserve">that did </w:t>
            </w:r>
            <w:r w:rsidR="006B5AF6" w:rsidRPr="006B5AF6">
              <w:rPr>
                <w:b/>
                <w:u w:val="single"/>
              </w:rPr>
              <w:t>not</w:t>
            </w:r>
            <w:r w:rsidR="006B5AF6" w:rsidRPr="006B5AF6">
              <w:t xml:space="preserve"> win the club’s 1</w:t>
            </w:r>
            <w:r w:rsidR="006B5AF6" w:rsidRPr="006B5AF6">
              <w:rPr>
                <w:vertAlign w:val="superscript"/>
              </w:rPr>
              <w:t>st</w:t>
            </w:r>
            <w:r w:rsidR="006B5AF6">
              <w:t xml:space="preserve"> </w:t>
            </w:r>
            <w:r w:rsidR="006B5AF6" w:rsidRPr="006B5AF6">
              <w:t>place ribbon</w:t>
            </w:r>
            <w:r w:rsidR="006B5AF6">
              <w:t>, but</w:t>
            </w:r>
            <w:r w:rsidR="00012975">
              <w:t xml:space="preserve"> </w:t>
            </w:r>
            <w:r>
              <w:t>best exemplifies the high standards of philatelic exhibit presentation per the following criteria:</w:t>
            </w:r>
          </w:p>
          <w:p w:rsidR="003D5C2D" w:rsidRDefault="003D5C2D" w:rsidP="00DA5AF7">
            <w:pPr>
              <w:pStyle w:val="ListParagraph"/>
              <w:numPr>
                <w:ilvl w:val="0"/>
                <w:numId w:val="3"/>
              </w:numPr>
            </w:pPr>
            <w:r w:rsidRPr="002B49B8">
              <w:rPr>
                <w:b/>
              </w:rPr>
              <w:t>Exhibit Layout</w:t>
            </w:r>
            <w:r>
              <w:t>: The balanced and eye appealing arrangement of exhibit pages; highlighting of an exhibit’s material.</w:t>
            </w:r>
          </w:p>
          <w:p w:rsidR="003D5C2D" w:rsidRDefault="003D5C2D" w:rsidP="00DA5AF7">
            <w:pPr>
              <w:pStyle w:val="ListParagraph"/>
              <w:numPr>
                <w:ilvl w:val="0"/>
                <w:numId w:val="3"/>
              </w:numPr>
            </w:pPr>
            <w:r w:rsidRPr="002B49B8">
              <w:rPr>
                <w:b/>
              </w:rPr>
              <w:t>Title Page</w:t>
            </w:r>
            <w:r>
              <w:t>: Does it aid the viewer in following the exhibit’s logical progression? Is it written in concise, yet descriptive terms that act as a “road map” for the viewer of the exhibit?</w:t>
            </w:r>
          </w:p>
          <w:p w:rsidR="003D5C2D" w:rsidRDefault="003D5C2D" w:rsidP="00DA5AF7">
            <w:pPr>
              <w:pStyle w:val="ListParagraph"/>
              <w:numPr>
                <w:ilvl w:val="0"/>
                <w:numId w:val="3"/>
              </w:numPr>
            </w:pPr>
            <w:r w:rsidRPr="002B49B8">
              <w:rPr>
                <w:b/>
              </w:rPr>
              <w:t>Logic of Progression</w:t>
            </w:r>
            <w:r>
              <w:t>: How logical is the sequence of the pages in telling the material’s story? Is the material pertinent to and within the parameters set down by the title? Does the exhibit have a beginning, middle and end?</w:t>
            </w:r>
          </w:p>
          <w:p w:rsidR="003D5C2D" w:rsidRDefault="003D5C2D" w:rsidP="00DA5AF7">
            <w:pPr>
              <w:pStyle w:val="ListParagraph"/>
              <w:numPr>
                <w:ilvl w:val="0"/>
                <w:numId w:val="3"/>
              </w:numPr>
            </w:pPr>
            <w:r w:rsidRPr="002B49B8">
              <w:rPr>
                <w:b/>
              </w:rPr>
              <w:t>Write-up</w:t>
            </w:r>
            <w:r>
              <w:t>: Is it pertinent, brief and non-redundant?</w:t>
            </w:r>
          </w:p>
          <w:p w:rsidR="003D5C2D" w:rsidRDefault="003D5C2D" w:rsidP="00DA5AF7">
            <w:pPr>
              <w:pStyle w:val="ListParagraph"/>
              <w:numPr>
                <w:ilvl w:val="0"/>
                <w:numId w:val="3"/>
              </w:numPr>
            </w:pPr>
            <w:r w:rsidRPr="002B49B8">
              <w:rPr>
                <w:b/>
              </w:rPr>
              <w:t>Neatness</w:t>
            </w:r>
            <w:r>
              <w:t>: Are the pages clean? Is the write-up method neat and tidy? Are mounts subtle and even?</w:t>
            </w:r>
          </w:p>
        </w:tc>
      </w:tr>
    </w:tbl>
    <w:p w:rsidR="0073080F" w:rsidRDefault="003D5C2D">
      <w:r>
        <w:t xml:space="preserve"> </w:t>
      </w:r>
    </w:p>
    <w:p w:rsidR="002B49B8" w:rsidRDefault="002B49B8"/>
    <w:p w:rsidR="0073080F" w:rsidRDefault="0073080F"/>
    <w:p w:rsidR="0073080F" w:rsidRDefault="0073080F"/>
    <w:p w:rsidR="0073080F" w:rsidRDefault="0073080F"/>
    <w:p w:rsidR="0073080F" w:rsidRDefault="0073080F"/>
    <w:p w:rsidR="0073080F" w:rsidRDefault="0073080F"/>
    <w:p w:rsidR="0073080F" w:rsidRDefault="0073080F"/>
    <w:p w:rsidR="0073080F" w:rsidRDefault="0073080F"/>
    <w:p w:rsidR="0073080F" w:rsidRDefault="0073080F"/>
    <w:tbl>
      <w:tblPr>
        <w:tblStyle w:val="TableGrid"/>
        <w:tblW w:w="6480"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0"/>
      </w:tblGrid>
      <w:tr w:rsidR="002B49B8" w:rsidTr="00DA5985">
        <w:trPr>
          <w:tblHeader/>
        </w:trPr>
        <w:tc>
          <w:tcPr>
            <w:tcW w:w="6480" w:type="dxa"/>
            <w:tcMar>
              <w:left w:w="29" w:type="dxa"/>
              <w:right w:w="29" w:type="dxa"/>
            </w:tcMar>
          </w:tcPr>
          <w:p w:rsidR="002B49B8" w:rsidRDefault="002B49B8" w:rsidP="00DA5AF7">
            <w:pPr>
              <w:jc w:val="center"/>
              <w:rPr>
                <w:b/>
              </w:rPr>
            </w:pPr>
            <w:r>
              <w:rPr>
                <w:b/>
              </w:rPr>
              <w:lastRenderedPageBreak/>
              <w:t>United States Stamp Society</w:t>
            </w:r>
          </w:p>
          <w:p w:rsidR="002B49B8" w:rsidRPr="002B49B8" w:rsidRDefault="002B49B8" w:rsidP="00D60E35">
            <w:pPr>
              <w:spacing w:after="120"/>
              <w:jc w:val="center"/>
              <w:rPr>
                <w:b/>
              </w:rPr>
            </w:pPr>
            <w:r w:rsidRPr="002B49B8">
              <w:rPr>
                <w:b/>
              </w:rPr>
              <w:t>“</w:t>
            </w:r>
            <w:r>
              <w:rPr>
                <w:b/>
              </w:rPr>
              <w:t>President’s Award</w:t>
            </w:r>
            <w:r w:rsidRPr="002B49B8">
              <w:rPr>
                <w:b/>
              </w:rPr>
              <w:t>”</w:t>
            </w:r>
          </w:p>
        </w:tc>
      </w:tr>
      <w:tr w:rsidR="00DA5985" w:rsidTr="00176E78">
        <w:tc>
          <w:tcPr>
            <w:tcW w:w="6480" w:type="dxa"/>
            <w:tcMar>
              <w:left w:w="29" w:type="dxa"/>
              <w:right w:w="29" w:type="dxa"/>
            </w:tcMar>
          </w:tcPr>
          <w:p w:rsidR="00DA5985" w:rsidRDefault="00DA5985" w:rsidP="00DA5985">
            <w:pPr>
              <w:jc w:val="center"/>
            </w:pPr>
            <w:r>
              <w:rPr>
                <w:noProof/>
              </w:rPr>
              <w:drawing>
                <wp:inline distT="0" distB="0" distL="0" distR="0">
                  <wp:extent cx="1112807" cy="11253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l_NE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8286" cy="1130880"/>
                          </a:xfrm>
                          <a:prstGeom prst="rect">
                            <a:avLst/>
                          </a:prstGeom>
                        </pic:spPr>
                      </pic:pic>
                    </a:graphicData>
                  </a:graphic>
                </wp:inline>
              </w:drawing>
            </w:r>
          </w:p>
        </w:tc>
      </w:tr>
      <w:tr w:rsidR="002B49B8" w:rsidTr="00DA5985">
        <w:tc>
          <w:tcPr>
            <w:tcW w:w="6480" w:type="dxa"/>
            <w:tcMar>
              <w:left w:w="29" w:type="dxa"/>
              <w:right w:w="29" w:type="dxa"/>
            </w:tcMar>
          </w:tcPr>
          <w:p w:rsidR="002B49B8" w:rsidRPr="002B49B8" w:rsidRDefault="002B49B8" w:rsidP="00D60E35">
            <w:pPr>
              <w:spacing w:before="240"/>
              <w:jc w:val="center"/>
              <w:rPr>
                <w:b/>
              </w:rPr>
            </w:pPr>
            <w:r w:rsidRPr="002B49B8">
              <w:rPr>
                <w:b/>
              </w:rPr>
              <w:t>Criteria</w:t>
            </w:r>
          </w:p>
          <w:p w:rsidR="002B49B8" w:rsidRDefault="002B49B8" w:rsidP="00DA5AF7">
            <w:pPr>
              <w:pStyle w:val="ListParagraph"/>
              <w:numPr>
                <w:ilvl w:val="0"/>
                <w:numId w:val="1"/>
              </w:numPr>
              <w:ind w:left="360" w:hanging="180"/>
            </w:pPr>
            <w:r>
              <w:t xml:space="preserve">The award should go the best U.S. exhibit of postage stamps, revenue stamps and/or stamped paper of the United States and its administered areas as further defined in this criteria. The exhibit must win </w:t>
            </w:r>
            <w:r w:rsidR="00A6611C">
              <w:t>one of the club’s 1</w:t>
            </w:r>
            <w:r w:rsidR="00A6611C" w:rsidRPr="00A6611C">
              <w:rPr>
                <w:vertAlign w:val="superscript"/>
              </w:rPr>
              <w:t>st</w:t>
            </w:r>
            <w:r w:rsidR="00A6611C">
              <w:t>, 2</w:t>
            </w:r>
            <w:r w:rsidR="00A6611C" w:rsidRPr="00A6611C">
              <w:rPr>
                <w:vertAlign w:val="superscript"/>
              </w:rPr>
              <w:t>nd</w:t>
            </w:r>
            <w:r w:rsidR="00A6611C">
              <w:t>, or 3</w:t>
            </w:r>
            <w:r w:rsidR="00A6611C" w:rsidRPr="00A6611C">
              <w:rPr>
                <w:vertAlign w:val="superscript"/>
              </w:rPr>
              <w:t>rd</w:t>
            </w:r>
            <w:r w:rsidR="00A6611C">
              <w:t xml:space="preserve"> place ribbons</w:t>
            </w:r>
            <w:r>
              <w:t>.</w:t>
            </w:r>
          </w:p>
          <w:p w:rsidR="002B49B8" w:rsidRDefault="002B49B8" w:rsidP="00DA5AF7">
            <w:pPr>
              <w:pStyle w:val="ListParagraph"/>
              <w:numPr>
                <w:ilvl w:val="0"/>
                <w:numId w:val="1"/>
              </w:numPr>
              <w:ind w:left="360" w:hanging="180"/>
            </w:pPr>
            <w:r>
              <w:t>Eligible Exhibits:</w:t>
            </w:r>
          </w:p>
          <w:p w:rsidR="002B49B8" w:rsidRPr="002B49B8" w:rsidRDefault="002B49B8" w:rsidP="00DA5AF7">
            <w:pPr>
              <w:pStyle w:val="ListParagraph"/>
              <w:numPr>
                <w:ilvl w:val="0"/>
                <w:numId w:val="3"/>
              </w:numPr>
            </w:pPr>
            <w:r>
              <w:rPr>
                <w:b/>
              </w:rPr>
              <w:t>Exhibits of the following types of material of the U.S. administered areas or possessions:</w:t>
            </w:r>
          </w:p>
          <w:p w:rsidR="002B49B8" w:rsidRPr="002B49B8" w:rsidRDefault="00120781" w:rsidP="002B49B8">
            <w:pPr>
              <w:pStyle w:val="ListParagraph"/>
            </w:pPr>
            <w:r>
              <w:t xml:space="preserve">1) </w:t>
            </w:r>
            <w:r w:rsidR="002B49B8">
              <w:t>Postage and Special Postal Service S</w:t>
            </w:r>
            <w:r w:rsidR="002B49B8" w:rsidRPr="002B49B8">
              <w:t xml:space="preserve">tamps, </w:t>
            </w:r>
            <w:r>
              <w:t xml:space="preserve">2) </w:t>
            </w:r>
            <w:r w:rsidR="002B49B8" w:rsidRPr="002B49B8">
              <w:t xml:space="preserve">Revenue Stamps, </w:t>
            </w:r>
            <w:r>
              <w:t xml:space="preserve">3) </w:t>
            </w:r>
            <w:r w:rsidR="002B49B8" w:rsidRPr="002B49B8">
              <w:t xml:space="preserve">Postal Stationery, </w:t>
            </w:r>
            <w:r>
              <w:t xml:space="preserve">4) </w:t>
            </w:r>
            <w:r w:rsidR="002B49B8" w:rsidRPr="002B49B8">
              <w:t xml:space="preserve">Local and Carrier Stamps, </w:t>
            </w:r>
            <w:r>
              <w:t xml:space="preserve">5) </w:t>
            </w:r>
            <w:r w:rsidR="002B49B8" w:rsidRPr="002B49B8">
              <w:t xml:space="preserve">Revenue Stamped Paper, </w:t>
            </w:r>
            <w:r>
              <w:t xml:space="preserve">6) </w:t>
            </w:r>
            <w:r w:rsidR="002B49B8" w:rsidRPr="002B49B8">
              <w:t xml:space="preserve">Test Stamps, </w:t>
            </w:r>
            <w:r>
              <w:t xml:space="preserve">7) </w:t>
            </w:r>
            <w:r w:rsidR="002B49B8" w:rsidRPr="002B49B8">
              <w:t>Dummy Coils, etc.</w:t>
            </w:r>
          </w:p>
          <w:p w:rsidR="002B49B8" w:rsidRPr="002B49B8" w:rsidRDefault="002B49B8" w:rsidP="00DA5AF7">
            <w:pPr>
              <w:pStyle w:val="ListParagraph"/>
              <w:numPr>
                <w:ilvl w:val="0"/>
                <w:numId w:val="3"/>
              </w:numPr>
            </w:pPr>
            <w:r>
              <w:rPr>
                <w:b/>
              </w:rPr>
              <w:t>Exhibits of the following classes, divisions or types when a U.S. area is the focus:</w:t>
            </w:r>
          </w:p>
          <w:p w:rsidR="00120781" w:rsidRPr="00120781" w:rsidRDefault="00120781" w:rsidP="00120781">
            <w:pPr>
              <w:pStyle w:val="ListParagraph"/>
            </w:pPr>
            <w:r>
              <w:t xml:space="preserve">1) </w:t>
            </w:r>
            <w:r w:rsidR="002B49B8" w:rsidRPr="00120781">
              <w:t xml:space="preserve">Traditional, </w:t>
            </w:r>
            <w:r>
              <w:t xml:space="preserve">2) </w:t>
            </w:r>
            <w:r w:rsidR="002B49B8" w:rsidRPr="00120781">
              <w:t xml:space="preserve">Postal Stationery, </w:t>
            </w:r>
            <w:r>
              <w:t xml:space="preserve">3) </w:t>
            </w:r>
            <w:proofErr w:type="spellStart"/>
            <w:r w:rsidR="00DE19FD">
              <w:t>Astrophi</w:t>
            </w:r>
            <w:r w:rsidR="002B49B8" w:rsidRPr="00120781">
              <w:t>lately</w:t>
            </w:r>
            <w:proofErr w:type="spellEnd"/>
            <w:r w:rsidR="002B49B8" w:rsidRPr="00120781">
              <w:t xml:space="preserve">, </w:t>
            </w:r>
            <w:r>
              <w:t xml:space="preserve">4) </w:t>
            </w:r>
            <w:r w:rsidR="002B49B8" w:rsidRPr="00120781">
              <w:t xml:space="preserve">Revenue, </w:t>
            </w:r>
            <w:r>
              <w:t xml:space="preserve">5) </w:t>
            </w:r>
            <w:proofErr w:type="spellStart"/>
            <w:r w:rsidR="002B49B8" w:rsidRPr="00120781">
              <w:t>Marcophily</w:t>
            </w:r>
            <w:proofErr w:type="spellEnd"/>
            <w:r w:rsidR="002B49B8" w:rsidRPr="00120781">
              <w:t xml:space="preserve">, </w:t>
            </w:r>
            <w:r>
              <w:t xml:space="preserve">6) </w:t>
            </w:r>
            <w:r w:rsidR="002B49B8" w:rsidRPr="00120781">
              <w:t xml:space="preserve">Postal History, </w:t>
            </w:r>
            <w:r>
              <w:t xml:space="preserve">7) </w:t>
            </w:r>
            <w:proofErr w:type="spellStart"/>
            <w:r w:rsidR="002B49B8" w:rsidRPr="00120781">
              <w:t>Aerophilately</w:t>
            </w:r>
            <w:proofErr w:type="spellEnd"/>
            <w:r w:rsidR="002B49B8" w:rsidRPr="00120781">
              <w:t xml:space="preserve">, </w:t>
            </w:r>
            <w:r>
              <w:t xml:space="preserve">8) </w:t>
            </w:r>
            <w:r w:rsidR="002B49B8" w:rsidRPr="00120781">
              <w:t xml:space="preserve">Special Studies, </w:t>
            </w:r>
            <w:r>
              <w:t xml:space="preserve">9) </w:t>
            </w:r>
            <w:r w:rsidR="002B49B8" w:rsidRPr="00120781">
              <w:t xml:space="preserve">Display Class, </w:t>
            </w:r>
            <w:r>
              <w:t xml:space="preserve">10) </w:t>
            </w:r>
            <w:r w:rsidR="002B49B8" w:rsidRPr="00120781">
              <w:t xml:space="preserve">First Day Covers, </w:t>
            </w:r>
            <w:r>
              <w:t xml:space="preserve">11) </w:t>
            </w:r>
            <w:r w:rsidR="002B49B8" w:rsidRPr="00120781">
              <w:t>Illustrate</w:t>
            </w:r>
            <w:r w:rsidR="00A6611C">
              <w:t>d</w:t>
            </w:r>
            <w:r w:rsidR="002B49B8" w:rsidRPr="00120781">
              <w:t xml:space="preserve"> mail exhibits that include a focus on the postal emissions such as the postage stamps, stationery, etc.</w:t>
            </w:r>
          </w:p>
          <w:p w:rsidR="00120781" w:rsidRDefault="00120781" w:rsidP="00120781">
            <w:pPr>
              <w:pStyle w:val="ListParagraph"/>
              <w:numPr>
                <w:ilvl w:val="0"/>
                <w:numId w:val="1"/>
              </w:numPr>
              <w:ind w:left="360" w:hanging="180"/>
            </w:pPr>
            <w:r w:rsidRPr="00120781">
              <w:rPr>
                <w:u w:val="single"/>
              </w:rPr>
              <w:t>Exhibits</w:t>
            </w:r>
            <w:r>
              <w:t xml:space="preserve"> </w:t>
            </w:r>
            <w:r w:rsidRPr="00120781">
              <w:rPr>
                <w:u w:val="single"/>
              </w:rPr>
              <w:t>not</w:t>
            </w:r>
            <w:r>
              <w:t xml:space="preserve"> </w:t>
            </w:r>
            <w:r w:rsidRPr="00120781">
              <w:rPr>
                <w:u w:val="single"/>
              </w:rPr>
              <w:t>Eligible</w:t>
            </w:r>
            <w:r>
              <w:t>:</w:t>
            </w:r>
          </w:p>
          <w:p w:rsidR="00120781" w:rsidRPr="002B49B8" w:rsidRDefault="00120781" w:rsidP="00120781">
            <w:pPr>
              <w:pStyle w:val="ListParagraph"/>
              <w:numPr>
                <w:ilvl w:val="0"/>
                <w:numId w:val="3"/>
              </w:numPr>
            </w:pPr>
            <w:r>
              <w:rPr>
                <w:b/>
              </w:rPr>
              <w:t>Following are exhibit categories and subjects not eligible for this award:</w:t>
            </w:r>
          </w:p>
          <w:p w:rsidR="002B49B8" w:rsidRPr="00120781" w:rsidRDefault="00A6611C" w:rsidP="00A6611C">
            <w:pPr>
              <w:pStyle w:val="ListParagraph"/>
              <w:rPr>
                <w:b/>
              </w:rPr>
            </w:pPr>
            <w:r>
              <w:t>1</w:t>
            </w:r>
            <w:r w:rsidR="00120781">
              <w:t xml:space="preserve">) Exhibits of </w:t>
            </w:r>
            <w:proofErr w:type="spellStart"/>
            <w:r w:rsidR="00120781">
              <w:t>Stampless</w:t>
            </w:r>
            <w:proofErr w:type="spellEnd"/>
            <w:r w:rsidR="00120781">
              <w:t xml:space="preserve"> Material because the USSS has a primary focus on the study of adhesives, </w:t>
            </w:r>
            <w:r>
              <w:t>2</w:t>
            </w:r>
            <w:r w:rsidR="00120781">
              <w:t xml:space="preserve">) Cinderella Material where specifically seals, labels, trading stamps, propaganda, etiquettes and similar material., </w:t>
            </w:r>
            <w:r>
              <w:t>3</w:t>
            </w:r>
            <w:r w:rsidR="00120781">
              <w:t xml:space="preserve">) Illustrated Mail Exhibits where there is no focus on the postal emissions such as the postage stamps, stationery, etc., </w:t>
            </w:r>
            <w:r>
              <w:t>4</w:t>
            </w:r>
            <w:r w:rsidR="00120781">
              <w:t>) Confederate Material.</w:t>
            </w:r>
          </w:p>
        </w:tc>
      </w:tr>
    </w:tbl>
    <w:p w:rsidR="0073080F" w:rsidRDefault="0073080F" w:rsidP="00DA5985">
      <w:pPr>
        <w:jc w:val="center"/>
        <w:rPr>
          <w:b/>
        </w:rPr>
        <w:sectPr w:rsidR="0073080F" w:rsidSect="000456B1">
          <w:pgSz w:w="15840" w:h="12240" w:orient="landscape" w:code="1"/>
          <w:pgMar w:top="900" w:right="1080" w:bottom="810" w:left="720" w:header="720" w:footer="720" w:gutter="0"/>
          <w:cols w:num="2" w:space="720"/>
          <w:docGrid w:linePitch="360"/>
        </w:sectPr>
      </w:pPr>
    </w:p>
    <w:p w:rsidR="00E76CD2" w:rsidRDefault="00E76CD2">
      <w:pPr>
        <w:rPr>
          <w:b/>
        </w:rPr>
      </w:pPr>
      <w:r>
        <w:rPr>
          <w:b/>
        </w:rPr>
        <w:lastRenderedPageBreak/>
        <w:br w:type="page"/>
      </w:r>
    </w:p>
    <w:p w:rsidR="00B54F96" w:rsidRPr="00DA5985" w:rsidRDefault="00DA5985" w:rsidP="00DA5985">
      <w:pPr>
        <w:jc w:val="center"/>
        <w:rPr>
          <w:b/>
        </w:rPr>
      </w:pPr>
      <w:r w:rsidRPr="00DA5985">
        <w:rPr>
          <w:b/>
        </w:rPr>
        <w:lastRenderedPageBreak/>
        <w:t>Special Information</w:t>
      </w:r>
    </w:p>
    <w:p w:rsidR="00DA5985" w:rsidRDefault="00DA5985" w:rsidP="00DA5985">
      <w:pPr>
        <w:pStyle w:val="ListParagraph"/>
        <w:numPr>
          <w:ilvl w:val="0"/>
          <w:numId w:val="1"/>
        </w:numPr>
        <w:ind w:left="270" w:hanging="270"/>
      </w:pPr>
      <w:r>
        <w:t xml:space="preserve">Judges </w:t>
      </w:r>
      <w:r w:rsidR="00070ACB">
        <w:t>who</w:t>
      </w:r>
      <w:r>
        <w:t xml:space="preserve"> determine supplementary awards are appointed by the Exhibits Chairman. Minimum requirements include their medal level standing at the World Series of Philately </w:t>
      </w:r>
      <w:r w:rsidR="00E61A0B">
        <w:t>exhibiting competitions</w:t>
      </w:r>
      <w:r>
        <w:t xml:space="preserve">; </w:t>
      </w:r>
      <w:r w:rsidR="00E4629E">
        <w:t>Vermeil</w:t>
      </w:r>
      <w:r>
        <w:t xml:space="preserve"> Medal or above.</w:t>
      </w:r>
    </w:p>
    <w:p w:rsidR="00DA5985" w:rsidRDefault="00DA5985" w:rsidP="00DA5985">
      <w:pPr>
        <w:pStyle w:val="ListParagraph"/>
        <w:numPr>
          <w:ilvl w:val="0"/>
          <w:numId w:val="1"/>
        </w:numPr>
        <w:ind w:left="270" w:hanging="270"/>
      </w:pPr>
      <w:r>
        <w:t xml:space="preserve">Award recipients must provide their exhibits </w:t>
      </w:r>
      <w:r w:rsidR="00476F63">
        <w:t xml:space="preserve">to the Exhibits Chairman </w:t>
      </w:r>
      <w:r>
        <w:t>for scanni</w:t>
      </w:r>
      <w:r w:rsidR="00E4629E">
        <w:t xml:space="preserve">ng. The electronic file will </w:t>
      </w:r>
      <w:r w:rsidR="00476F63">
        <w:t>result in a</w:t>
      </w:r>
      <w:r>
        <w:t xml:space="preserve"> PDF format and placed </w:t>
      </w:r>
      <w:r w:rsidR="00476F63">
        <w:t xml:space="preserve">as a link </w:t>
      </w:r>
      <w:r>
        <w:t xml:space="preserve">on the MPS website for viewing by club members, visitors to our site, and </w:t>
      </w:r>
      <w:r w:rsidR="00E4629E">
        <w:t xml:space="preserve">agents who donated </w:t>
      </w:r>
      <w:r w:rsidR="00476F63">
        <w:t>awards from external organizations.</w:t>
      </w:r>
    </w:p>
    <w:p w:rsidR="00E61A0B" w:rsidRDefault="00E61A0B" w:rsidP="00DA5985">
      <w:pPr>
        <w:pStyle w:val="ListParagraph"/>
        <w:numPr>
          <w:ilvl w:val="0"/>
          <w:numId w:val="1"/>
        </w:numPr>
        <w:ind w:left="270" w:hanging="270"/>
      </w:pPr>
      <w:r>
        <w:t>Awards are given on</w:t>
      </w:r>
      <w:r w:rsidR="0085042F">
        <w:t>ly</w:t>
      </w:r>
      <w:r>
        <w:t xml:space="preserve"> when warranted. If no exhibit displays a sufficient level of achieveme</w:t>
      </w:r>
      <w:r w:rsidR="00E4629E">
        <w:t>nt of any supplemental award, the award</w:t>
      </w:r>
      <w:r>
        <w:t xml:space="preserve"> will be withheld.</w:t>
      </w:r>
    </w:p>
    <w:p w:rsidR="00B7650B" w:rsidRDefault="00B7650B" w:rsidP="00DA5985">
      <w:pPr>
        <w:pStyle w:val="ListParagraph"/>
        <w:numPr>
          <w:ilvl w:val="0"/>
          <w:numId w:val="1"/>
        </w:numPr>
        <w:ind w:left="270" w:hanging="270"/>
      </w:pPr>
      <w:r>
        <w:t>Consideration for awarding 1</w:t>
      </w:r>
      <w:r w:rsidRPr="00B7650B">
        <w:rPr>
          <w:vertAlign w:val="superscript"/>
        </w:rPr>
        <w:t>st</w:t>
      </w:r>
      <w:r>
        <w:t>, 2</w:t>
      </w:r>
      <w:r w:rsidRPr="00B7650B">
        <w:rPr>
          <w:vertAlign w:val="superscript"/>
        </w:rPr>
        <w:t>nd</w:t>
      </w:r>
      <w:r>
        <w:t>, and 3</w:t>
      </w:r>
      <w:r w:rsidRPr="00B7650B">
        <w:rPr>
          <w:vertAlign w:val="superscript"/>
        </w:rPr>
        <w:t>rd</w:t>
      </w:r>
      <w:r>
        <w:t xml:space="preserve"> place ribbons will depend on the total number of exhibits. If 10 to 12 exhibitors participate, a 1</w:t>
      </w:r>
      <w:r w:rsidRPr="00B7650B">
        <w:rPr>
          <w:vertAlign w:val="superscript"/>
        </w:rPr>
        <w:t>st</w:t>
      </w:r>
      <w:r>
        <w:t>, 2</w:t>
      </w:r>
      <w:r w:rsidRPr="00B7650B">
        <w:rPr>
          <w:vertAlign w:val="superscript"/>
        </w:rPr>
        <w:t>nd</w:t>
      </w:r>
      <w:r>
        <w:t>, and 3</w:t>
      </w:r>
      <w:r w:rsidRPr="00B7650B">
        <w:rPr>
          <w:vertAlign w:val="superscript"/>
        </w:rPr>
        <w:t>rd</w:t>
      </w:r>
      <w:r>
        <w:t xml:space="preserve"> place ribbon will be awarded. If 7 to 9 exhibitors participate, a 1</w:t>
      </w:r>
      <w:r w:rsidRPr="00B7650B">
        <w:rPr>
          <w:vertAlign w:val="superscript"/>
        </w:rPr>
        <w:t>st</w:t>
      </w:r>
      <w:r>
        <w:t xml:space="preserve"> and 2</w:t>
      </w:r>
      <w:r w:rsidRPr="00B7650B">
        <w:rPr>
          <w:vertAlign w:val="superscript"/>
        </w:rPr>
        <w:t>nd</w:t>
      </w:r>
      <w:r>
        <w:t xml:space="preserve"> place ribbon will be awarded, and if 2 to 6 exhibitors participate, only the 1</w:t>
      </w:r>
      <w:r w:rsidRPr="00B7650B">
        <w:rPr>
          <w:vertAlign w:val="superscript"/>
        </w:rPr>
        <w:t>st</w:t>
      </w:r>
      <w:r>
        <w:t xml:space="preserve"> place ribbon will be awarded.</w:t>
      </w:r>
    </w:p>
    <w:p w:rsidR="00070ACB" w:rsidRDefault="00070ACB" w:rsidP="00DA5985">
      <w:pPr>
        <w:pStyle w:val="ListParagraph"/>
        <w:numPr>
          <w:ilvl w:val="0"/>
          <w:numId w:val="1"/>
        </w:numPr>
        <w:ind w:left="270" w:hanging="270"/>
      </w:pPr>
      <w:r>
        <w:t xml:space="preserve">All </w:t>
      </w:r>
      <w:r w:rsidR="00E4629E">
        <w:t>exhibitors</w:t>
      </w:r>
      <w:r>
        <w:t xml:space="preserve"> receive the MPS Annual Lapel Pin and a Certificate of participation.</w:t>
      </w:r>
    </w:p>
    <w:sectPr w:rsidR="00070ACB" w:rsidSect="0073080F">
      <w:type w:val="continuous"/>
      <w:pgSz w:w="15840" w:h="12240" w:orient="landscape" w:code="1"/>
      <w:pgMar w:top="900" w:right="108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559A"/>
    <w:multiLevelType w:val="hybridMultilevel"/>
    <w:tmpl w:val="F72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A581D"/>
    <w:multiLevelType w:val="hybridMultilevel"/>
    <w:tmpl w:val="A28A3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E359B"/>
    <w:multiLevelType w:val="hybridMultilevel"/>
    <w:tmpl w:val="5AE22CDA"/>
    <w:lvl w:ilvl="0" w:tplc="9BC8C16C">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B8"/>
    <w:rsid w:val="00011F9E"/>
    <w:rsid w:val="00012975"/>
    <w:rsid w:val="000456B1"/>
    <w:rsid w:val="00056054"/>
    <w:rsid w:val="00070ACB"/>
    <w:rsid w:val="000873AF"/>
    <w:rsid w:val="000B5510"/>
    <w:rsid w:val="001036ED"/>
    <w:rsid w:val="00120781"/>
    <w:rsid w:val="00124348"/>
    <w:rsid w:val="00146223"/>
    <w:rsid w:val="0017253E"/>
    <w:rsid w:val="001D5FE4"/>
    <w:rsid w:val="002B49B8"/>
    <w:rsid w:val="002F3E1F"/>
    <w:rsid w:val="00305C3F"/>
    <w:rsid w:val="003C5757"/>
    <w:rsid w:val="003D5C2D"/>
    <w:rsid w:val="00476F63"/>
    <w:rsid w:val="004A421C"/>
    <w:rsid w:val="004F5FDA"/>
    <w:rsid w:val="00521DAF"/>
    <w:rsid w:val="00571F4B"/>
    <w:rsid w:val="0059151D"/>
    <w:rsid w:val="00592535"/>
    <w:rsid w:val="005C6C06"/>
    <w:rsid w:val="006051CE"/>
    <w:rsid w:val="00654108"/>
    <w:rsid w:val="00655F48"/>
    <w:rsid w:val="006B5AF6"/>
    <w:rsid w:val="006C3EF2"/>
    <w:rsid w:val="00716FCF"/>
    <w:rsid w:val="0073080F"/>
    <w:rsid w:val="00734089"/>
    <w:rsid w:val="00797459"/>
    <w:rsid w:val="007A23E3"/>
    <w:rsid w:val="007B50BB"/>
    <w:rsid w:val="0082716E"/>
    <w:rsid w:val="0085042F"/>
    <w:rsid w:val="00874C43"/>
    <w:rsid w:val="00911D23"/>
    <w:rsid w:val="00930A9D"/>
    <w:rsid w:val="00990A2D"/>
    <w:rsid w:val="009C3811"/>
    <w:rsid w:val="009D15F0"/>
    <w:rsid w:val="009F7C59"/>
    <w:rsid w:val="00A6611C"/>
    <w:rsid w:val="00AA1F81"/>
    <w:rsid w:val="00AB19F5"/>
    <w:rsid w:val="00B51EC1"/>
    <w:rsid w:val="00B54F96"/>
    <w:rsid w:val="00B7360F"/>
    <w:rsid w:val="00B7650B"/>
    <w:rsid w:val="00BE0AA5"/>
    <w:rsid w:val="00BE7B4C"/>
    <w:rsid w:val="00C26735"/>
    <w:rsid w:val="00D42368"/>
    <w:rsid w:val="00D60E35"/>
    <w:rsid w:val="00D7374C"/>
    <w:rsid w:val="00DA5985"/>
    <w:rsid w:val="00DE19FD"/>
    <w:rsid w:val="00DF7C45"/>
    <w:rsid w:val="00E44606"/>
    <w:rsid w:val="00E4629E"/>
    <w:rsid w:val="00E61A0B"/>
    <w:rsid w:val="00E76CD2"/>
    <w:rsid w:val="00ED2418"/>
    <w:rsid w:val="00EE7C11"/>
    <w:rsid w:val="00EF17F0"/>
    <w:rsid w:val="00F13BEB"/>
    <w:rsid w:val="00F5139A"/>
    <w:rsid w:val="00F7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9B8"/>
    <w:pPr>
      <w:ind w:left="720"/>
      <w:contextualSpacing/>
    </w:pPr>
  </w:style>
  <w:style w:type="paragraph" w:styleId="BalloonText">
    <w:name w:val="Balloon Text"/>
    <w:basedOn w:val="Normal"/>
    <w:link w:val="BalloonTextChar"/>
    <w:uiPriority w:val="99"/>
    <w:semiHidden/>
    <w:unhideWhenUsed/>
    <w:rsid w:val="00592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5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49B8"/>
    <w:pPr>
      <w:ind w:left="720"/>
      <w:contextualSpacing/>
    </w:pPr>
  </w:style>
  <w:style w:type="paragraph" w:styleId="BalloonText">
    <w:name w:val="Balloon Text"/>
    <w:basedOn w:val="Normal"/>
    <w:link w:val="BalloonTextChar"/>
    <w:uiPriority w:val="99"/>
    <w:semiHidden/>
    <w:unhideWhenUsed/>
    <w:rsid w:val="00592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5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FEEC7-6138-4CB2-9D39-16694B08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robert.burney</dc:creator>
  <cp:lastModifiedBy>Bob</cp:lastModifiedBy>
  <cp:revision>2</cp:revision>
  <dcterms:created xsi:type="dcterms:W3CDTF">2015-06-02T01:02:00Z</dcterms:created>
  <dcterms:modified xsi:type="dcterms:W3CDTF">2015-06-02T01:02:00Z</dcterms:modified>
</cp:coreProperties>
</file>